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  <w:r w:rsidRPr="00A1080B">
        <w:rPr>
          <w:rFonts w:ascii="Arial Black" w:hAnsi="Arial Black"/>
          <w:noProof/>
        </w:rPr>
        <w:drawing>
          <wp:inline distT="0" distB="0" distL="0" distR="0">
            <wp:extent cx="5940425" cy="8337703"/>
            <wp:effectExtent l="0" t="0" r="3175" b="6350"/>
            <wp:docPr id="1" name="Рисунок 1" descr="C:\Users\Irina\Desktop\Новые документы ДОУ - ПОЛОЖЕНИЯ\14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овые документы ДОУ - ПОЛОЖЕНИЯ\144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A1080B" w:rsidRDefault="00A1080B" w:rsidP="002D622C">
      <w:pPr>
        <w:spacing w:line="0" w:lineRule="atLeast"/>
        <w:ind w:left="-567" w:firstLine="141"/>
        <w:contextualSpacing/>
        <w:jc w:val="center"/>
        <w:rPr>
          <w:b/>
        </w:rPr>
      </w:pPr>
    </w:p>
    <w:p w:rsidR="002D622C" w:rsidRPr="002D622C" w:rsidRDefault="002D622C" w:rsidP="002D622C">
      <w:pPr>
        <w:spacing w:line="0" w:lineRule="atLeast"/>
        <w:ind w:left="-567" w:firstLine="141"/>
        <w:contextualSpacing/>
        <w:jc w:val="center"/>
        <w:rPr>
          <w:b/>
        </w:rPr>
      </w:pPr>
      <w:bookmarkStart w:id="0" w:name="_GoBack"/>
      <w:bookmarkEnd w:id="0"/>
      <w:r w:rsidRPr="002D622C">
        <w:rPr>
          <w:b/>
        </w:rPr>
        <w:lastRenderedPageBreak/>
        <w:t>1. Общие положения.</w:t>
      </w:r>
    </w:p>
    <w:p w:rsidR="002D622C" w:rsidRPr="002D622C" w:rsidRDefault="002D622C" w:rsidP="002D622C">
      <w:pPr>
        <w:numPr>
          <w:ilvl w:val="1"/>
          <w:numId w:val="1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Настоящее положение разработано на основе Трудового кодекса Российской Федерации, Гражданского кодекса Российской федерации, Закона РФ «Об образовании</w:t>
      </w:r>
      <w:r w:rsidRPr="00E070F1">
        <w:rPr>
          <w:szCs w:val="22"/>
        </w:rPr>
        <w:t xml:space="preserve"> в Российской Федерации</w:t>
      </w:r>
      <w:r w:rsidRPr="002D622C">
        <w:rPr>
          <w:szCs w:val="22"/>
        </w:rPr>
        <w:t xml:space="preserve">», Постановления Правительства РФ от 3 апреля 2003 года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учреждений», Приказа </w:t>
      </w:r>
      <w:proofErr w:type="spellStart"/>
      <w:r w:rsidRPr="002D622C">
        <w:rPr>
          <w:szCs w:val="22"/>
        </w:rPr>
        <w:t>Минобрнауки</w:t>
      </w:r>
      <w:proofErr w:type="spellEnd"/>
      <w:r w:rsidRPr="002D622C">
        <w:rPr>
          <w:szCs w:val="22"/>
        </w:rPr>
        <w:t xml:space="preserve"> России от 27 марта </w:t>
      </w:r>
      <w:smartTag w:uri="urn:schemas-microsoft-com:office:smarttags" w:element="metricconverter">
        <w:smartTagPr>
          <w:attr w:name="ProductID" w:val="2006 г"/>
        </w:smartTagPr>
        <w:r w:rsidRPr="002D622C">
          <w:rPr>
            <w:szCs w:val="22"/>
          </w:rPr>
          <w:t>2006 г</w:t>
        </w:r>
      </w:smartTag>
      <w:r w:rsidRPr="002D622C">
        <w:rPr>
          <w:szCs w:val="22"/>
        </w:rPr>
        <w:t xml:space="preserve">.  № 69 «Об особенностях режима рабочего времени и времени отдыха педагогических и других работников образовательных учреждений», Постановления Министерства труда РФ «Об утверждении разрядов оплаты труда и тарифно-квалификационных характеристик (требований по общеотраслевым должностям служащих)», Правил оказания платных образовательных услуг, утверждённых постановлением Правительства Российской Федерации, Санитарно-эпидемиологических правил СанПиН </w:t>
      </w:r>
      <w:r w:rsidR="00E070F1" w:rsidRPr="00E070F1">
        <w:rPr>
          <w:szCs w:val="22"/>
        </w:rPr>
        <w:t>2.4.1.3049-13,</w:t>
      </w:r>
      <w:r w:rsidRPr="002D622C">
        <w:rPr>
          <w:szCs w:val="22"/>
        </w:rPr>
        <w:t xml:space="preserve">"Гигиенические требования к условиям обучения в общеобразовательных учреждениях", Устава </w:t>
      </w:r>
      <w:r w:rsidR="00652BD6">
        <w:rPr>
          <w:szCs w:val="22"/>
        </w:rPr>
        <w:t>МАДОУ «Детский сад №35»</w:t>
      </w:r>
      <w:r w:rsidR="00666CA1">
        <w:rPr>
          <w:szCs w:val="22"/>
        </w:rPr>
        <w:t>, Положения о порядке</w:t>
      </w:r>
      <w:r w:rsidRPr="002D622C">
        <w:rPr>
          <w:szCs w:val="22"/>
        </w:rPr>
        <w:t xml:space="preserve"> </w:t>
      </w:r>
      <w:r w:rsidR="00666CA1">
        <w:rPr>
          <w:szCs w:val="22"/>
        </w:rPr>
        <w:t xml:space="preserve">оказании платных </w:t>
      </w:r>
      <w:r w:rsidRPr="002D622C">
        <w:rPr>
          <w:szCs w:val="22"/>
        </w:rPr>
        <w:t xml:space="preserve"> услуг в </w:t>
      </w:r>
      <w:r w:rsidR="00652BD6">
        <w:rPr>
          <w:szCs w:val="22"/>
        </w:rPr>
        <w:t>МАДОУ «Детский сад №35»</w:t>
      </w:r>
      <w:r w:rsidR="00157922">
        <w:rPr>
          <w:szCs w:val="22"/>
        </w:rPr>
        <w:t>, утвержденное приказом №</w:t>
      </w:r>
      <w:r w:rsidR="00666CA1">
        <w:rPr>
          <w:szCs w:val="22"/>
        </w:rPr>
        <w:t xml:space="preserve"> 52 а  от 01.09.2016г.</w:t>
      </w:r>
    </w:p>
    <w:p w:rsidR="002D622C" w:rsidRPr="002D622C" w:rsidRDefault="002D622C" w:rsidP="002D622C">
      <w:pPr>
        <w:numPr>
          <w:ilvl w:val="1"/>
          <w:numId w:val="1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Целью настоящего Положения является:</w:t>
      </w:r>
    </w:p>
    <w:p w:rsidR="002D622C" w:rsidRPr="002D622C" w:rsidRDefault="002D622C" w:rsidP="002D622C">
      <w:pPr>
        <w:spacing w:line="0" w:lineRule="atLeast"/>
        <w:jc w:val="both"/>
        <w:rPr>
          <w:szCs w:val="22"/>
        </w:rPr>
      </w:pPr>
      <w:r w:rsidRPr="002D622C">
        <w:rPr>
          <w:szCs w:val="20"/>
        </w:rPr>
        <w:t xml:space="preserve">      - установление порядка оплаты труда </w:t>
      </w:r>
      <w:r w:rsidR="00157922">
        <w:rPr>
          <w:szCs w:val="20"/>
        </w:rPr>
        <w:t xml:space="preserve">штатных </w:t>
      </w:r>
      <w:r w:rsidRPr="002D622C">
        <w:rPr>
          <w:szCs w:val="20"/>
        </w:rPr>
        <w:t xml:space="preserve">работников </w:t>
      </w:r>
      <w:r w:rsidR="00652BD6">
        <w:rPr>
          <w:szCs w:val="20"/>
        </w:rPr>
        <w:t>МАДОУ «Детский сад №35»</w:t>
      </w:r>
      <w:r w:rsidR="00157922">
        <w:rPr>
          <w:szCs w:val="20"/>
        </w:rPr>
        <w:t xml:space="preserve"> и</w:t>
      </w:r>
      <w:r w:rsidRPr="002D622C">
        <w:rPr>
          <w:szCs w:val="20"/>
        </w:rPr>
        <w:t xml:space="preserve"> привлечённых на договорной основе к выполнению работ по предоставлению платных образовательных услуг;</w:t>
      </w:r>
    </w:p>
    <w:p w:rsidR="002D622C" w:rsidRPr="002D622C" w:rsidRDefault="002D622C" w:rsidP="002D622C">
      <w:pPr>
        <w:spacing w:line="0" w:lineRule="atLeast"/>
        <w:jc w:val="both"/>
        <w:rPr>
          <w:sz w:val="28"/>
          <w:szCs w:val="20"/>
        </w:rPr>
      </w:pPr>
      <w:r w:rsidRPr="002D622C">
        <w:rPr>
          <w:szCs w:val="20"/>
        </w:rPr>
        <w:t xml:space="preserve">      - материальное стимулирование работников  к повышению  качества предоставляемых образовательных услуг, организационно-методического уровня выполнения работ.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both"/>
        <w:rPr>
          <w:szCs w:val="22"/>
        </w:rPr>
      </w:pPr>
      <w:r w:rsidRPr="002D622C">
        <w:rPr>
          <w:szCs w:val="22"/>
        </w:rPr>
        <w:t xml:space="preserve">   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center"/>
      </w:pPr>
      <w:r w:rsidRPr="002D622C">
        <w:rPr>
          <w:b/>
        </w:rPr>
        <w:t>2. Порядок формирования фонда оплаты труда за организацию дополнительных платных образовательных услуг.</w:t>
      </w:r>
    </w:p>
    <w:p w:rsidR="002D622C" w:rsidRPr="002D622C" w:rsidRDefault="002D622C" w:rsidP="002D622C">
      <w:pPr>
        <w:numPr>
          <w:ilvl w:val="1"/>
          <w:numId w:val="2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Фонд оплаты труда за организацию платных образовательных услуг формируется из: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both"/>
        <w:rPr>
          <w:szCs w:val="22"/>
        </w:rPr>
      </w:pPr>
      <w:r w:rsidRPr="002D622C">
        <w:rPr>
          <w:szCs w:val="22"/>
        </w:rPr>
        <w:t xml:space="preserve">-  средств, поступивших  на специальный счёт от </w:t>
      </w:r>
      <w:r>
        <w:rPr>
          <w:szCs w:val="22"/>
        </w:rPr>
        <w:t>заказчика</w:t>
      </w:r>
      <w:r w:rsidRPr="002D622C">
        <w:rPr>
          <w:szCs w:val="22"/>
        </w:rPr>
        <w:t xml:space="preserve"> платных образовательных услуг, заключивших  соответствующий договор с </w:t>
      </w:r>
      <w:r w:rsidR="00652BD6">
        <w:rPr>
          <w:szCs w:val="22"/>
        </w:rPr>
        <w:t>МАДОУ «Детский сад №35»</w:t>
      </w:r>
      <w:r w:rsidRPr="002D622C">
        <w:rPr>
          <w:szCs w:val="22"/>
        </w:rPr>
        <w:t>,</w:t>
      </w:r>
    </w:p>
    <w:p w:rsidR="002D622C" w:rsidRPr="002D622C" w:rsidRDefault="002D622C" w:rsidP="002D622C">
      <w:pPr>
        <w:spacing w:before="100" w:beforeAutospacing="1" w:line="0" w:lineRule="atLeast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-  других внебюджетных источников финансирования, не запрещённых законом.</w:t>
      </w:r>
    </w:p>
    <w:p w:rsidR="002D622C" w:rsidRPr="002D622C" w:rsidRDefault="002D622C" w:rsidP="002D622C">
      <w:pPr>
        <w:numPr>
          <w:ilvl w:val="1"/>
          <w:numId w:val="2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 xml:space="preserve">Фонд оплаты труда от общей суммы поступивших  целевых средств  определяется Положением  об оказании платных образовательных услуг в </w:t>
      </w:r>
      <w:r w:rsidR="00652BD6">
        <w:rPr>
          <w:szCs w:val="22"/>
        </w:rPr>
        <w:t>МАДОУ «Детский сад №35»</w:t>
      </w:r>
      <w:r w:rsidRPr="002D622C">
        <w:rPr>
          <w:szCs w:val="22"/>
        </w:rPr>
        <w:t>.</w:t>
      </w:r>
    </w:p>
    <w:p w:rsidR="002D622C" w:rsidRPr="002D622C" w:rsidRDefault="002D622C" w:rsidP="002D622C">
      <w:pPr>
        <w:numPr>
          <w:ilvl w:val="1"/>
          <w:numId w:val="2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rPr>
          <w:szCs w:val="22"/>
        </w:rPr>
        <w:t>Калькуляция стоимости  дополнительных платных образовательных услуг производится с учётом:</w:t>
      </w:r>
    </w:p>
    <w:p w:rsidR="002D622C" w:rsidRDefault="002D622C" w:rsidP="00157922">
      <w:pPr>
        <w:spacing w:before="100" w:beforeAutospacing="1" w:line="0" w:lineRule="atLeast"/>
        <w:contextualSpacing/>
        <w:jc w:val="both"/>
        <w:rPr>
          <w:szCs w:val="22"/>
        </w:rPr>
      </w:pPr>
      <w:r w:rsidRPr="002D622C">
        <w:rPr>
          <w:szCs w:val="22"/>
        </w:rPr>
        <w:t xml:space="preserve"> -  </w:t>
      </w:r>
      <w:r w:rsidR="00157922">
        <w:rPr>
          <w:szCs w:val="22"/>
        </w:rPr>
        <w:t>прямых затрат;</w:t>
      </w:r>
    </w:p>
    <w:p w:rsidR="00157922" w:rsidRDefault="00157922" w:rsidP="00157922">
      <w:pPr>
        <w:spacing w:before="100" w:beforeAutospacing="1" w:line="0" w:lineRule="atLeast"/>
        <w:contextualSpacing/>
        <w:jc w:val="both"/>
        <w:rPr>
          <w:szCs w:val="22"/>
        </w:rPr>
      </w:pPr>
      <w:r>
        <w:rPr>
          <w:szCs w:val="22"/>
        </w:rPr>
        <w:t>- косвенных затрат (коэффициент 0,72);</w:t>
      </w:r>
    </w:p>
    <w:p w:rsidR="00157922" w:rsidRPr="002D622C" w:rsidRDefault="00157922" w:rsidP="00157922">
      <w:pPr>
        <w:spacing w:before="100" w:beforeAutospacing="1" w:line="0" w:lineRule="atLeast"/>
        <w:contextualSpacing/>
        <w:jc w:val="both"/>
        <w:rPr>
          <w:szCs w:val="20"/>
        </w:rPr>
      </w:pPr>
      <w:r>
        <w:rPr>
          <w:szCs w:val="22"/>
        </w:rPr>
        <w:t>- затрат на прочие расходы.</w:t>
      </w:r>
    </w:p>
    <w:p w:rsidR="002D622C" w:rsidRPr="002D622C" w:rsidRDefault="002D622C" w:rsidP="002D622C">
      <w:pPr>
        <w:numPr>
          <w:ilvl w:val="0"/>
          <w:numId w:val="4"/>
        </w:numPr>
        <w:spacing w:line="0" w:lineRule="atLeast"/>
        <w:ind w:left="0" w:firstLine="0"/>
        <w:contextualSpacing/>
        <w:jc w:val="center"/>
        <w:rPr>
          <w:b/>
        </w:rPr>
      </w:pPr>
      <w:r w:rsidRPr="002D622C">
        <w:rPr>
          <w:b/>
        </w:rPr>
        <w:t>Порядок начисления  и определения размеров заработной платы.</w:t>
      </w:r>
    </w:p>
    <w:p w:rsidR="002D622C" w:rsidRPr="002D622C" w:rsidRDefault="00EA7083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>Составление сметы</w:t>
      </w:r>
      <w:r w:rsidR="002D622C" w:rsidRPr="002D622C">
        <w:rPr>
          <w:szCs w:val="22"/>
        </w:rPr>
        <w:t xml:space="preserve"> расходов на каждый </w:t>
      </w:r>
      <w:r w:rsidRPr="002D622C">
        <w:rPr>
          <w:szCs w:val="22"/>
        </w:rPr>
        <w:t>вид дополнительных</w:t>
      </w:r>
      <w:r w:rsidR="002D622C">
        <w:rPr>
          <w:szCs w:val="22"/>
        </w:rPr>
        <w:t xml:space="preserve"> образовательных услуг </w:t>
      </w:r>
      <w:r w:rsidRPr="002D622C">
        <w:rPr>
          <w:szCs w:val="22"/>
        </w:rPr>
        <w:t>и расчёт</w:t>
      </w:r>
      <w:r w:rsidR="002D622C" w:rsidRPr="002D622C">
        <w:rPr>
          <w:szCs w:val="22"/>
        </w:rPr>
        <w:t xml:space="preserve"> размеров оплаты труда </w:t>
      </w:r>
      <w:proofErr w:type="gramStart"/>
      <w:r w:rsidR="002D622C" w:rsidRPr="002D622C">
        <w:rPr>
          <w:szCs w:val="22"/>
        </w:rPr>
        <w:t>работников,  привлечённых</w:t>
      </w:r>
      <w:proofErr w:type="gramEnd"/>
      <w:r w:rsidR="002D622C" w:rsidRPr="002D622C">
        <w:rPr>
          <w:szCs w:val="22"/>
        </w:rPr>
        <w:t xml:space="preserve"> к  выполнению обязанностей по предоставлению платных образовательных услуг    возлагается  на</w:t>
      </w:r>
      <w:r w:rsidR="00157922">
        <w:rPr>
          <w:szCs w:val="22"/>
        </w:rPr>
        <w:t xml:space="preserve">  планово-экономическую группу </w:t>
      </w:r>
      <w:r w:rsidR="002D622C" w:rsidRPr="002D622C">
        <w:rPr>
          <w:szCs w:val="22"/>
        </w:rPr>
        <w:t>К</w:t>
      </w:r>
      <w:r w:rsidR="00157922">
        <w:rPr>
          <w:szCs w:val="22"/>
        </w:rPr>
        <w:t>омитета</w:t>
      </w:r>
      <w:r w:rsidR="002D622C" w:rsidRPr="002D622C">
        <w:rPr>
          <w:szCs w:val="22"/>
        </w:rPr>
        <w:t xml:space="preserve"> Образования.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 xml:space="preserve">Размер оплаты труда </w:t>
      </w:r>
      <w:r w:rsidR="00157922">
        <w:rPr>
          <w:szCs w:val="22"/>
        </w:rPr>
        <w:t xml:space="preserve">штатных </w:t>
      </w:r>
      <w:r w:rsidRPr="002D622C">
        <w:rPr>
          <w:szCs w:val="22"/>
        </w:rPr>
        <w:t xml:space="preserve">работников, привлечённых на договорной основе к выполнению работ по предоставлению платных образовательных услуг, устанавливается приказом заведующего </w:t>
      </w:r>
      <w:r w:rsidR="00652BD6">
        <w:rPr>
          <w:szCs w:val="22"/>
        </w:rPr>
        <w:t>МАДОУ «Детский сад №</w:t>
      </w:r>
      <w:r w:rsidR="00EA7083">
        <w:rPr>
          <w:szCs w:val="22"/>
        </w:rPr>
        <w:t>35»</w:t>
      </w:r>
      <w:r w:rsidR="00EA7083" w:rsidRPr="002D622C">
        <w:rPr>
          <w:szCs w:val="22"/>
        </w:rPr>
        <w:t xml:space="preserve"> по</w:t>
      </w:r>
      <w:r w:rsidRPr="002D622C">
        <w:rPr>
          <w:szCs w:val="22"/>
        </w:rPr>
        <w:t xml:space="preserve"> соглашению сторон на основании    дополнения к договору (соглашения) заключённому между работником и </w:t>
      </w:r>
      <w:r w:rsidR="00652BD6">
        <w:rPr>
          <w:szCs w:val="22"/>
        </w:rPr>
        <w:t>МАДОУ «Детский сад №35</w:t>
      </w:r>
      <w:r w:rsidR="00EA7083">
        <w:rPr>
          <w:szCs w:val="22"/>
        </w:rPr>
        <w:t>»</w:t>
      </w:r>
      <w:r w:rsidR="00EA7083" w:rsidRPr="002D622C">
        <w:rPr>
          <w:szCs w:val="22"/>
        </w:rPr>
        <w:t>, должностных</w:t>
      </w:r>
      <w:r w:rsidRPr="002D622C">
        <w:rPr>
          <w:szCs w:val="22"/>
        </w:rPr>
        <w:t xml:space="preserve"> инструкций работника, видов </w:t>
      </w:r>
      <w:r w:rsidR="00EA7083" w:rsidRPr="002D622C">
        <w:rPr>
          <w:szCs w:val="22"/>
        </w:rPr>
        <w:t>и объёмов</w:t>
      </w:r>
      <w:r w:rsidRPr="002D622C">
        <w:rPr>
          <w:szCs w:val="22"/>
        </w:rPr>
        <w:t xml:space="preserve"> </w:t>
      </w:r>
      <w:r w:rsidR="00EA7083" w:rsidRPr="002D622C">
        <w:rPr>
          <w:szCs w:val="22"/>
        </w:rPr>
        <w:t>выполняемой работы</w:t>
      </w:r>
      <w:r w:rsidRPr="002D622C">
        <w:rPr>
          <w:szCs w:val="22"/>
        </w:rPr>
        <w:t>, уровня квалификации работника.</w:t>
      </w:r>
    </w:p>
    <w:p w:rsidR="002D622C" w:rsidRPr="002D622C" w:rsidRDefault="00157922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Размер оплаты труда специалистов, привлеченных со стороны, устанавливается приказом </w:t>
      </w:r>
      <w:r w:rsidR="00367113">
        <w:rPr>
          <w:szCs w:val="22"/>
        </w:rPr>
        <w:t>заведующего МАДОУ «Детский сад №35» на основании договора оказания услуг.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lastRenderedPageBreak/>
        <w:t>Продолжительность  и периодичность занятий в группах дополнительных образовательных услуг устанавливается с учётом возраста детей  в соответствии с требованиями СанПиНа 2.4.2.</w:t>
      </w:r>
      <w:r w:rsidR="00367113">
        <w:rPr>
          <w:szCs w:val="22"/>
        </w:rPr>
        <w:t>3049-13</w:t>
      </w:r>
      <w:r w:rsidRPr="002D622C">
        <w:rPr>
          <w:szCs w:val="22"/>
        </w:rPr>
        <w:t xml:space="preserve">, методических рекомендаций, действующих образовательных стандартов, а также пожеланий  заказчиков (потребителей)  образовательных услуг.  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>Норма часов педагогической работы в неделю и продолжительность одного занятия устанавливается  при заключении дополнения к договору (соглашения) с педагогическим работником по соглашению сторон в зависимости от возрастных особенностей детей, специфики курса  и сложности программы занятий и других психолого-педагогических  критериев.</w:t>
      </w:r>
    </w:p>
    <w:p w:rsidR="002D622C" w:rsidRPr="002D622C" w:rsidRDefault="00367113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>
        <w:rPr>
          <w:szCs w:val="22"/>
        </w:rPr>
        <w:t xml:space="preserve">Заработная плата по </w:t>
      </w:r>
      <w:r w:rsidR="002D622C" w:rsidRPr="002D622C">
        <w:rPr>
          <w:szCs w:val="22"/>
        </w:rPr>
        <w:t>допол</w:t>
      </w:r>
      <w:r w:rsidR="005A27F7">
        <w:rPr>
          <w:szCs w:val="22"/>
        </w:rPr>
        <w:t xml:space="preserve">нению к договору (соглашению), заключённому </w:t>
      </w:r>
      <w:r w:rsidR="002D622C" w:rsidRPr="002D622C">
        <w:rPr>
          <w:szCs w:val="22"/>
        </w:rPr>
        <w:t xml:space="preserve">между </w:t>
      </w:r>
      <w:r>
        <w:rPr>
          <w:szCs w:val="22"/>
        </w:rPr>
        <w:t xml:space="preserve">штатным </w:t>
      </w:r>
      <w:r w:rsidR="002D622C" w:rsidRPr="002D622C">
        <w:rPr>
          <w:szCs w:val="22"/>
        </w:rPr>
        <w:t xml:space="preserve">работником и </w:t>
      </w:r>
      <w:r w:rsidR="00652BD6">
        <w:rPr>
          <w:szCs w:val="22"/>
        </w:rPr>
        <w:t>МАДОУ «Детский сад №35»</w:t>
      </w:r>
      <w:r w:rsidR="00DD6737">
        <w:rPr>
          <w:szCs w:val="22"/>
        </w:rPr>
        <w:t xml:space="preserve"> о выполнении </w:t>
      </w:r>
      <w:r w:rsidR="002D622C" w:rsidRPr="002D622C">
        <w:rPr>
          <w:szCs w:val="22"/>
        </w:rPr>
        <w:t>обязанностей по предоставлению платных образовательных услуг, начисляется ежемесячно.  Дни невыхода на работу по болезни, в связи с предоставлением любого вида отпуска или  другим причинам, не оплачиваются.</w:t>
      </w:r>
    </w:p>
    <w:p w:rsidR="002D622C" w:rsidRPr="002D622C" w:rsidRDefault="002D622C" w:rsidP="002D622C">
      <w:pPr>
        <w:numPr>
          <w:ilvl w:val="1"/>
          <w:numId w:val="5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rPr>
          <w:szCs w:val="22"/>
        </w:rPr>
        <w:t xml:space="preserve">Оплата  труда привлечённых на договорной основе  работников производится  с учётом  установленных  законами Российской Федерации налогов и сборов,  страховых взносов в государственные внебюджетные социальные фонды. Вышеуказанная  сумма заработной платы не включается в расчёт для оплаты  работнику дней временной нетрудоспособности (по больничному листку) и  начисления отпускных. </w:t>
      </w:r>
    </w:p>
    <w:p w:rsidR="002D622C" w:rsidRPr="002D622C" w:rsidRDefault="002D622C" w:rsidP="002D622C">
      <w:pPr>
        <w:spacing w:line="0" w:lineRule="atLeast"/>
        <w:rPr>
          <w:szCs w:val="22"/>
        </w:rPr>
      </w:pPr>
    </w:p>
    <w:p w:rsidR="002D622C" w:rsidRPr="002D622C" w:rsidRDefault="002D622C" w:rsidP="002D622C">
      <w:pPr>
        <w:spacing w:before="100" w:beforeAutospacing="1" w:line="0" w:lineRule="atLeast"/>
        <w:contextualSpacing/>
        <w:jc w:val="center"/>
      </w:pPr>
      <w:r w:rsidRPr="002D622C">
        <w:rPr>
          <w:b/>
        </w:rPr>
        <w:t>4. Организация оплаты труда.</w:t>
      </w:r>
    </w:p>
    <w:p w:rsidR="002D622C" w:rsidRPr="002D622C" w:rsidRDefault="00367113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>
        <w:t xml:space="preserve">Оплата труда </w:t>
      </w:r>
      <w:r w:rsidR="002D622C" w:rsidRPr="002D622C">
        <w:t xml:space="preserve">производится работникам </w:t>
      </w:r>
      <w:r w:rsidR="00652BD6">
        <w:t>МАДОУ «Детский сад №35»</w:t>
      </w:r>
      <w:r w:rsidR="002D622C" w:rsidRPr="002D622C">
        <w:t xml:space="preserve">, привлечённым к выполнению работ по предоставлению платных образовательных услуг, заключившим дополнение к трудовому договору (соглашение) с </w:t>
      </w:r>
      <w:r w:rsidR="00652BD6">
        <w:t>МАДОУ «Детский сад №35»</w:t>
      </w:r>
      <w:r>
        <w:t xml:space="preserve"> и назначенным </w:t>
      </w:r>
      <w:r w:rsidR="002D622C" w:rsidRPr="002D622C">
        <w:t>приказом заведующего на должности,</w:t>
      </w:r>
      <w:r w:rsidR="005A27F7">
        <w:t xml:space="preserve"> </w:t>
      </w:r>
      <w:r w:rsidR="002D622C" w:rsidRPr="002D622C">
        <w:t>согласно утверждённого допол</w:t>
      </w:r>
      <w:r w:rsidR="005A27F7">
        <w:t>нительного штатного расписания,</w:t>
      </w:r>
      <w:r w:rsidR="002D622C" w:rsidRPr="002D622C">
        <w:t xml:space="preserve"> добросовестно</w:t>
      </w:r>
      <w:r w:rsidR="005A27F7">
        <w:t xml:space="preserve"> и в полном объёме выполняющим </w:t>
      </w:r>
      <w:r w:rsidR="002D622C" w:rsidRPr="002D622C">
        <w:t>обязанности, предусмотренные должностными инструкциями.</w:t>
      </w: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 w:rsidRPr="002D622C">
        <w:t xml:space="preserve">Оплата труда работникам </w:t>
      </w:r>
      <w:r w:rsidR="00652BD6">
        <w:t>МАДОУ «Детский сад №35»</w:t>
      </w:r>
      <w:r w:rsidRPr="002D622C">
        <w:t>, привлечённым к выполнению работ по предоставлению платных образовательных</w:t>
      </w:r>
      <w:r w:rsidR="00367113">
        <w:t xml:space="preserve"> услуг производится ежемесячно </w:t>
      </w:r>
      <w:r w:rsidRPr="002D622C">
        <w:t>до 10 числа следующего месяца</w:t>
      </w:r>
      <w:r w:rsidR="00367113">
        <w:t xml:space="preserve"> на кредитную карту обслуживающего банка.  Выплата заработной платы привлеченным специалистам осуществляется ежемесячно до 10 числа следующего месяца на кредитную карту обслуживающего банка</w:t>
      </w:r>
      <w:r w:rsidRPr="002D622C">
        <w:t>.</w:t>
      </w: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 w:rsidRPr="002D622C">
        <w:t xml:space="preserve">Исполнение смет расходов в части, касающейся оплаты труда работников </w:t>
      </w:r>
      <w:r w:rsidR="00652BD6">
        <w:t>МАДОУ «Детский сад №35»</w:t>
      </w:r>
      <w:r w:rsidR="005A27F7">
        <w:t xml:space="preserve">, привлечённых к </w:t>
      </w:r>
      <w:r w:rsidRPr="002D622C">
        <w:t>выполнению обязанностей по предоставлению дополнительных платных обр</w:t>
      </w:r>
      <w:r w:rsidR="005A27F7">
        <w:t xml:space="preserve">азовательных услуг (начисление </w:t>
      </w:r>
      <w:r w:rsidRPr="002D622C">
        <w:t>заработной платы перечисление н</w:t>
      </w:r>
      <w:r w:rsidR="00DD6737">
        <w:t xml:space="preserve">алогов и сборов в федеральный, </w:t>
      </w:r>
      <w:r w:rsidRPr="002D622C">
        <w:t xml:space="preserve">региональный и местный бюджеты, страховых взносов в государственные внебюджетные социальные фонды, проведение соответствующих </w:t>
      </w:r>
      <w:r w:rsidR="00DD6737">
        <w:t>финансовых, расчетных операций)</w:t>
      </w:r>
      <w:r w:rsidRPr="002D622C">
        <w:t xml:space="preserve"> в установленные</w:t>
      </w:r>
      <w:r w:rsidR="00DD6737">
        <w:t xml:space="preserve"> сроки -  организует бухгалтер </w:t>
      </w:r>
      <w:r w:rsidRPr="002D622C">
        <w:t>К</w:t>
      </w:r>
      <w:r w:rsidR="00DD6737">
        <w:t>омитета</w:t>
      </w:r>
      <w:r w:rsidRPr="002D622C">
        <w:t xml:space="preserve"> Образования.</w:t>
      </w: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</w:pPr>
      <w:r w:rsidRPr="002D622C">
        <w:t>Контроль  над 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    исполнением   соответствующей части сметы расходов  по каждому  виду  дополнительных платных образовательных услуг возлагается н</w:t>
      </w:r>
      <w:r w:rsidR="00DD6737">
        <w:t xml:space="preserve">а главного бухгалтера </w:t>
      </w:r>
      <w:r w:rsidRPr="002D622C">
        <w:t>К</w:t>
      </w:r>
      <w:r w:rsidR="00DD6737">
        <w:t>омитета</w:t>
      </w:r>
      <w:r w:rsidRPr="002D622C">
        <w:t xml:space="preserve"> Образования.</w:t>
      </w:r>
    </w:p>
    <w:p w:rsidR="002D622C" w:rsidRPr="00783A16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  <w:rPr>
          <w:sz w:val="28"/>
          <w:szCs w:val="22"/>
        </w:rPr>
      </w:pPr>
      <w:r w:rsidRPr="002D622C">
        <w:t>Обеспечение сохранности бухгалтерских документов  связанных  с оплатой труда работников, привлечённых к деятельности по предоставлению   дополнительных платных образовательных услуг и сдачу  их в установленном порядке в архив,  осуществляет главный</w:t>
      </w:r>
      <w:r w:rsidRPr="002D622C">
        <w:rPr>
          <w:szCs w:val="22"/>
        </w:rPr>
        <w:t xml:space="preserve"> бухгалтер.</w:t>
      </w:r>
    </w:p>
    <w:p w:rsidR="00783A16" w:rsidRDefault="00783A16" w:rsidP="00783A16">
      <w:pPr>
        <w:spacing w:line="0" w:lineRule="atLeast"/>
        <w:contextualSpacing/>
        <w:jc w:val="both"/>
        <w:rPr>
          <w:szCs w:val="22"/>
        </w:rPr>
      </w:pPr>
    </w:p>
    <w:p w:rsidR="00783A16" w:rsidRPr="00E070F1" w:rsidRDefault="00783A16" w:rsidP="00783A16">
      <w:pPr>
        <w:spacing w:line="0" w:lineRule="atLeast"/>
        <w:contextualSpacing/>
        <w:jc w:val="both"/>
        <w:rPr>
          <w:sz w:val="28"/>
          <w:szCs w:val="22"/>
        </w:rPr>
      </w:pPr>
    </w:p>
    <w:p w:rsidR="002D622C" w:rsidRPr="002D622C" w:rsidRDefault="002D622C" w:rsidP="002D622C">
      <w:pPr>
        <w:spacing w:line="0" w:lineRule="atLeast"/>
        <w:jc w:val="center"/>
        <w:rPr>
          <w:szCs w:val="22"/>
        </w:rPr>
      </w:pPr>
      <w:r w:rsidRPr="002D622C">
        <w:rPr>
          <w:szCs w:val="20"/>
        </w:rPr>
        <w:t xml:space="preserve">                                                     </w:t>
      </w:r>
    </w:p>
    <w:p w:rsidR="002D622C" w:rsidRDefault="002D622C" w:rsidP="002D622C">
      <w:pPr>
        <w:numPr>
          <w:ilvl w:val="0"/>
          <w:numId w:val="6"/>
        </w:numPr>
        <w:spacing w:line="0" w:lineRule="atLeast"/>
        <w:ind w:left="0" w:firstLine="0"/>
        <w:contextualSpacing/>
        <w:jc w:val="center"/>
        <w:rPr>
          <w:b/>
        </w:rPr>
      </w:pPr>
      <w:r w:rsidRPr="002D622C">
        <w:rPr>
          <w:b/>
        </w:rPr>
        <w:lastRenderedPageBreak/>
        <w:t>Премирование.</w:t>
      </w:r>
    </w:p>
    <w:p w:rsidR="00783A16" w:rsidRPr="002D622C" w:rsidRDefault="00783A16" w:rsidP="00783A16">
      <w:pPr>
        <w:spacing w:line="0" w:lineRule="atLeast"/>
        <w:contextualSpacing/>
        <w:rPr>
          <w:b/>
        </w:rPr>
      </w:pPr>
    </w:p>
    <w:p w:rsidR="002D622C" w:rsidRPr="002D622C" w:rsidRDefault="002D622C" w:rsidP="002D622C">
      <w:pPr>
        <w:numPr>
          <w:ilvl w:val="1"/>
          <w:numId w:val="6"/>
        </w:numPr>
        <w:spacing w:line="0" w:lineRule="atLeast"/>
        <w:ind w:left="0" w:firstLine="0"/>
        <w:contextualSpacing/>
        <w:jc w:val="both"/>
        <w:rPr>
          <w:szCs w:val="22"/>
        </w:rPr>
      </w:pPr>
      <w:r w:rsidRPr="002D622C">
        <w:t xml:space="preserve">Заведующий </w:t>
      </w:r>
      <w:r w:rsidR="00652BD6">
        <w:t>МАДОУ «Детский сад №35»</w:t>
      </w:r>
      <w:r w:rsidRPr="002D622C">
        <w:t xml:space="preserve">,  после  полного и успешного  завершения  курса занятий в группах дополнительных платных образовательных услуг, после полного исполнения сметы расходов по всем обязательным статьям и при наличии свободного остатка средств  в фонде оплаты труда -   вправе по своей инициативе или по представлению заместителей </w:t>
      </w:r>
      <w:r w:rsidR="00666CA1">
        <w:t>заведующего</w:t>
      </w:r>
      <w:r w:rsidRPr="002D622C">
        <w:t>, ответственных за соответствующее направление  образовательной деятельности, может наградить денежной премией работников,   добросовестно исполнявших свои обязанности, не допустивших срывов занятий, обеспечивших необходимые условия для успешного функционирования групп, добившихся положительных результатов в сфере предоставления дополнительных платных образовательных услуг.</w:t>
      </w:r>
    </w:p>
    <w:p w:rsidR="002D622C" w:rsidRDefault="002D622C" w:rsidP="002D622C"/>
    <w:sectPr w:rsidR="002D622C" w:rsidSect="002D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F05"/>
    <w:multiLevelType w:val="hybridMultilevel"/>
    <w:tmpl w:val="E74046E6"/>
    <w:lvl w:ilvl="0" w:tplc="B91864A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1657"/>
    <w:multiLevelType w:val="multilevel"/>
    <w:tmpl w:val="1DF8110E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sz w:val="24"/>
      </w:rPr>
    </w:lvl>
  </w:abstractNum>
  <w:abstractNum w:abstractNumId="2">
    <w:nsid w:val="2AAE1781"/>
    <w:multiLevelType w:val="multilevel"/>
    <w:tmpl w:val="D51E6038"/>
    <w:lvl w:ilvl="0">
      <w:start w:val="3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394" w:hanging="1110"/>
      </w:pPr>
    </w:lvl>
    <w:lvl w:ilvl="2">
      <w:start w:val="1"/>
      <w:numFmt w:val="decimal"/>
      <w:isLgl/>
      <w:lvlText w:val="%1.%2.%3."/>
      <w:lvlJc w:val="left"/>
      <w:pPr>
        <w:ind w:left="1394" w:hanging="1110"/>
      </w:pPr>
    </w:lvl>
    <w:lvl w:ilvl="3">
      <w:start w:val="1"/>
      <w:numFmt w:val="decimal"/>
      <w:isLgl/>
      <w:lvlText w:val="%1.%2.%3.%4."/>
      <w:lvlJc w:val="left"/>
      <w:pPr>
        <w:ind w:left="1394" w:hanging="1110"/>
      </w:pPr>
    </w:lvl>
    <w:lvl w:ilvl="4">
      <w:start w:val="1"/>
      <w:numFmt w:val="decimal"/>
      <w:isLgl/>
      <w:lvlText w:val="%1.%2.%3.%4.%5."/>
      <w:lvlJc w:val="left"/>
      <w:pPr>
        <w:ind w:left="1394" w:hanging="1110"/>
      </w:pPr>
    </w:lvl>
    <w:lvl w:ilvl="5">
      <w:start w:val="1"/>
      <w:numFmt w:val="decimal"/>
      <w:isLgl/>
      <w:lvlText w:val="%1.%2.%3.%4.%5.%6."/>
      <w:lvlJc w:val="left"/>
      <w:pPr>
        <w:ind w:left="1394" w:hanging="111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">
    <w:nsid w:val="5B993EDB"/>
    <w:multiLevelType w:val="multilevel"/>
    <w:tmpl w:val="34F2B26C"/>
    <w:lvl w:ilvl="0">
      <w:start w:val="2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sz w:val="24"/>
      </w:rPr>
    </w:lvl>
  </w:abstractNum>
  <w:abstractNum w:abstractNumId="4">
    <w:nsid w:val="68D61BE5"/>
    <w:multiLevelType w:val="multilevel"/>
    <w:tmpl w:val="764245B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71593628"/>
    <w:multiLevelType w:val="multilevel"/>
    <w:tmpl w:val="B720EE8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4"/>
    <w:rsid w:val="001449A8"/>
    <w:rsid w:val="00157922"/>
    <w:rsid w:val="002D622C"/>
    <w:rsid w:val="00367113"/>
    <w:rsid w:val="00416144"/>
    <w:rsid w:val="004641B0"/>
    <w:rsid w:val="004E6B24"/>
    <w:rsid w:val="005A27F7"/>
    <w:rsid w:val="006511F2"/>
    <w:rsid w:val="00652BD6"/>
    <w:rsid w:val="00666CA1"/>
    <w:rsid w:val="00783A16"/>
    <w:rsid w:val="008159C8"/>
    <w:rsid w:val="00834D16"/>
    <w:rsid w:val="00A1080B"/>
    <w:rsid w:val="00AE78FB"/>
    <w:rsid w:val="00DD6737"/>
    <w:rsid w:val="00E070F1"/>
    <w:rsid w:val="00EA708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EC4041-FF84-4D25-9714-6F59862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6B24"/>
    <w:pPr>
      <w:jc w:val="center"/>
    </w:pPr>
    <w:rPr>
      <w:rFonts w:ascii="Arial Black" w:hAnsi="Arial Black"/>
      <w:sz w:val="28"/>
    </w:rPr>
  </w:style>
  <w:style w:type="character" w:customStyle="1" w:styleId="a4">
    <w:name w:val="Название Знак"/>
    <w:basedOn w:val="a0"/>
    <w:link w:val="a3"/>
    <w:rsid w:val="004E6B24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62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70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52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52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Irina</cp:lastModifiedBy>
  <cp:revision>10</cp:revision>
  <cp:lastPrinted>2017-06-14T16:06:00Z</cp:lastPrinted>
  <dcterms:created xsi:type="dcterms:W3CDTF">2015-10-06T09:15:00Z</dcterms:created>
  <dcterms:modified xsi:type="dcterms:W3CDTF">2017-06-22T09:16:00Z</dcterms:modified>
</cp:coreProperties>
</file>